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rStyle w:val="Enfasigrassetto"/>
          <w:color w:val="21252B"/>
          <w:sz w:val="42"/>
          <w:szCs w:val="42"/>
        </w:rPr>
        <w:t>Who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should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pay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individual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income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tax</w:t>
      </w:r>
      <w:proofErr w:type="spellEnd"/>
      <w:r w:rsidRPr="00B73A1A">
        <w:rPr>
          <w:rStyle w:val="Enfasigrassetto"/>
          <w:color w:val="21252B"/>
          <w:sz w:val="42"/>
          <w:szCs w:val="42"/>
        </w:rPr>
        <w:t>?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color w:val="21252B"/>
        </w:rPr>
        <w:t>If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you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have</w:t>
      </w:r>
      <w:proofErr w:type="spellEnd"/>
      <w:r w:rsidRPr="00B73A1A">
        <w:rPr>
          <w:color w:val="21252B"/>
        </w:rPr>
        <w:t xml:space="preserve"> a </w:t>
      </w:r>
      <w:proofErr w:type="spellStart"/>
      <w:r w:rsidRPr="00B73A1A">
        <w:rPr>
          <w:color w:val="21252B"/>
        </w:rPr>
        <w:t>domicile</w:t>
      </w:r>
      <w:proofErr w:type="spellEnd"/>
      <w:r w:rsidRPr="00B73A1A">
        <w:rPr>
          <w:color w:val="21252B"/>
        </w:rPr>
        <w:t xml:space="preserve"> in China or </w:t>
      </w:r>
      <w:proofErr w:type="spellStart"/>
      <w:r w:rsidRPr="00B73A1A">
        <w:rPr>
          <w:color w:val="21252B"/>
        </w:rPr>
        <w:t>have</w:t>
      </w:r>
      <w:proofErr w:type="spellEnd"/>
      <w:r w:rsidRPr="00B73A1A">
        <w:rPr>
          <w:color w:val="21252B"/>
        </w:rPr>
        <w:t xml:space="preserve"> no </w:t>
      </w:r>
      <w:proofErr w:type="spellStart"/>
      <w:r w:rsidRPr="00B73A1A">
        <w:rPr>
          <w:color w:val="21252B"/>
        </w:rPr>
        <w:t>domicile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but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have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resided</w:t>
      </w:r>
      <w:proofErr w:type="spellEnd"/>
      <w:r w:rsidRPr="00B73A1A">
        <w:rPr>
          <w:color w:val="21252B"/>
        </w:rPr>
        <w:t xml:space="preserve"> in China for a cumulative </w:t>
      </w:r>
      <w:proofErr w:type="spellStart"/>
      <w:r w:rsidRPr="00B73A1A">
        <w:rPr>
          <w:color w:val="21252B"/>
        </w:rPr>
        <w:t>period</w:t>
      </w:r>
      <w:proofErr w:type="spellEnd"/>
      <w:r w:rsidRPr="00B73A1A">
        <w:rPr>
          <w:color w:val="21252B"/>
        </w:rPr>
        <w:t xml:space="preserve"> of 183 </w:t>
      </w:r>
      <w:proofErr w:type="spellStart"/>
      <w:r w:rsidRPr="00B73A1A">
        <w:rPr>
          <w:color w:val="21252B"/>
        </w:rPr>
        <w:t>days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within</w:t>
      </w:r>
      <w:proofErr w:type="spellEnd"/>
      <w:r w:rsidRPr="00B73A1A">
        <w:rPr>
          <w:color w:val="21252B"/>
        </w:rPr>
        <w:t xml:space="preserve"> a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year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you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will</w:t>
      </w:r>
      <w:proofErr w:type="spellEnd"/>
      <w:r w:rsidRPr="00B73A1A">
        <w:rPr>
          <w:color w:val="21252B"/>
        </w:rPr>
        <w:t xml:space="preserve"> be </w:t>
      </w:r>
      <w:proofErr w:type="spellStart"/>
      <w:r w:rsidRPr="00B73A1A">
        <w:rPr>
          <w:color w:val="21252B"/>
        </w:rPr>
        <w:t>identified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as</w:t>
      </w:r>
      <w:proofErr w:type="spellEnd"/>
      <w:r w:rsidRPr="00B73A1A">
        <w:rPr>
          <w:color w:val="21252B"/>
        </w:rPr>
        <w:t xml:space="preserve"> a </w:t>
      </w:r>
      <w:proofErr w:type="spellStart"/>
      <w:r w:rsidRPr="00B73A1A">
        <w:rPr>
          <w:color w:val="21252B"/>
        </w:rPr>
        <w:t>Chinese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resident</w:t>
      </w:r>
      <w:proofErr w:type="spellEnd"/>
      <w:r w:rsidRPr="00B73A1A">
        <w:rPr>
          <w:color w:val="21252B"/>
        </w:rPr>
        <w:t xml:space="preserve"> and </w:t>
      </w:r>
      <w:proofErr w:type="spellStart"/>
      <w:r w:rsidRPr="00B73A1A">
        <w:rPr>
          <w:color w:val="21252B"/>
        </w:rPr>
        <w:t>need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pay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on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earned</w:t>
      </w:r>
      <w:proofErr w:type="spellEnd"/>
      <w:r w:rsidRPr="00B73A1A">
        <w:rPr>
          <w:color w:val="21252B"/>
        </w:rPr>
        <w:t xml:space="preserve"> from </w:t>
      </w:r>
      <w:proofErr w:type="spellStart"/>
      <w:r w:rsidRPr="00B73A1A">
        <w:rPr>
          <w:color w:val="21252B"/>
        </w:rPr>
        <w:t>within</w:t>
      </w:r>
      <w:proofErr w:type="spellEnd"/>
      <w:r w:rsidRPr="00B73A1A">
        <w:rPr>
          <w:color w:val="21252B"/>
        </w:rPr>
        <w:t xml:space="preserve"> and </w:t>
      </w:r>
      <w:proofErr w:type="spellStart"/>
      <w:r w:rsidRPr="00B73A1A">
        <w:rPr>
          <w:color w:val="21252B"/>
        </w:rPr>
        <w:t>outside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territory</w:t>
      </w:r>
      <w:proofErr w:type="spellEnd"/>
      <w:r w:rsidRPr="00B73A1A">
        <w:rPr>
          <w:color w:val="21252B"/>
        </w:rPr>
        <w:t xml:space="preserve"> of China.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color w:val="21252B"/>
        </w:rPr>
        <w:t>If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you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have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not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resided</w:t>
      </w:r>
      <w:proofErr w:type="spellEnd"/>
      <w:r w:rsidRPr="00B73A1A">
        <w:rPr>
          <w:color w:val="21252B"/>
        </w:rPr>
        <w:t xml:space="preserve"> in China for a cumulative </w:t>
      </w:r>
      <w:proofErr w:type="spellStart"/>
      <w:r w:rsidRPr="00B73A1A">
        <w:rPr>
          <w:color w:val="21252B"/>
        </w:rPr>
        <w:t>period</w:t>
      </w:r>
      <w:proofErr w:type="spellEnd"/>
      <w:r w:rsidRPr="00B73A1A">
        <w:rPr>
          <w:color w:val="21252B"/>
        </w:rPr>
        <w:t xml:space="preserve"> of 183 </w:t>
      </w:r>
      <w:proofErr w:type="spellStart"/>
      <w:r w:rsidRPr="00B73A1A">
        <w:rPr>
          <w:color w:val="21252B"/>
        </w:rPr>
        <w:t>days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within</w:t>
      </w:r>
      <w:proofErr w:type="spellEnd"/>
      <w:r w:rsidRPr="00B73A1A">
        <w:rPr>
          <w:color w:val="21252B"/>
        </w:rPr>
        <w:t xml:space="preserve"> a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year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you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will</w:t>
      </w:r>
      <w:proofErr w:type="spellEnd"/>
      <w:r w:rsidRPr="00B73A1A">
        <w:rPr>
          <w:color w:val="21252B"/>
        </w:rPr>
        <w:t xml:space="preserve"> be </w:t>
      </w:r>
      <w:proofErr w:type="spellStart"/>
      <w:r w:rsidRPr="00B73A1A">
        <w:rPr>
          <w:color w:val="21252B"/>
        </w:rPr>
        <w:t>identified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as</w:t>
      </w:r>
      <w:proofErr w:type="spellEnd"/>
      <w:r w:rsidRPr="00B73A1A">
        <w:rPr>
          <w:color w:val="21252B"/>
        </w:rPr>
        <w:t xml:space="preserve"> a non-</w:t>
      </w:r>
      <w:proofErr w:type="spellStart"/>
      <w:r w:rsidRPr="00B73A1A">
        <w:rPr>
          <w:color w:val="21252B"/>
        </w:rPr>
        <w:t>resident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who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needs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pay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on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earned</w:t>
      </w:r>
      <w:proofErr w:type="spellEnd"/>
      <w:r w:rsidRPr="00B73A1A">
        <w:rPr>
          <w:color w:val="21252B"/>
        </w:rPr>
        <w:t xml:space="preserve"> from </w:t>
      </w:r>
      <w:proofErr w:type="spellStart"/>
      <w:r w:rsidRPr="00B73A1A">
        <w:rPr>
          <w:color w:val="21252B"/>
        </w:rPr>
        <w:t>within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territory</w:t>
      </w:r>
      <w:proofErr w:type="spellEnd"/>
      <w:r w:rsidRPr="00B73A1A">
        <w:rPr>
          <w:color w:val="21252B"/>
        </w:rPr>
        <w:t xml:space="preserve"> of China.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rStyle w:val="Enfasigrassetto"/>
          <w:color w:val="21252B"/>
          <w:sz w:val="42"/>
          <w:szCs w:val="42"/>
        </w:rPr>
        <w:t xml:space="preserve">How do I file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taxes</w:t>
      </w:r>
      <w:proofErr w:type="spellEnd"/>
      <w:r w:rsidRPr="00B73A1A">
        <w:rPr>
          <w:rStyle w:val="Enfasigrassetto"/>
          <w:color w:val="21252B"/>
          <w:sz w:val="42"/>
          <w:szCs w:val="42"/>
        </w:rPr>
        <w:t>?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color w:val="21252B"/>
        </w:rPr>
        <w:t>Foreigners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residing</w:t>
      </w:r>
      <w:proofErr w:type="spellEnd"/>
      <w:r w:rsidRPr="00B73A1A">
        <w:rPr>
          <w:color w:val="21252B"/>
        </w:rPr>
        <w:t xml:space="preserve"> in China </w:t>
      </w:r>
      <w:proofErr w:type="spellStart"/>
      <w:r w:rsidRPr="00B73A1A">
        <w:rPr>
          <w:color w:val="21252B"/>
        </w:rPr>
        <w:t>who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collect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employment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wages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labor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remuneration</w:t>
      </w:r>
      <w:proofErr w:type="spellEnd"/>
      <w:r w:rsidRPr="00B73A1A">
        <w:rPr>
          <w:color w:val="21252B"/>
        </w:rPr>
        <w:t xml:space="preserve">, royalties, and </w:t>
      </w:r>
      <w:proofErr w:type="spellStart"/>
      <w:r w:rsidRPr="00B73A1A">
        <w:rPr>
          <w:color w:val="21252B"/>
        </w:rPr>
        <w:t>franchise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fees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within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year</w:t>
      </w:r>
      <w:proofErr w:type="spellEnd"/>
      <w:r w:rsidRPr="00B73A1A">
        <w:rPr>
          <w:color w:val="21252B"/>
        </w:rPr>
        <w:t xml:space="preserve"> must file the </w:t>
      </w:r>
      <w:proofErr w:type="spellStart"/>
      <w:r w:rsidRPr="00B73A1A">
        <w:rPr>
          <w:color w:val="21252B"/>
        </w:rPr>
        <w:t>Annual</w:t>
      </w:r>
      <w:proofErr w:type="spellEnd"/>
      <w:r w:rsidRPr="00B73A1A">
        <w:rPr>
          <w:color w:val="21252B"/>
        </w:rPr>
        <w:t xml:space="preserve"> Self-</w:t>
      </w:r>
      <w:proofErr w:type="spellStart"/>
      <w:r w:rsidRPr="00B73A1A">
        <w:rPr>
          <w:color w:val="21252B"/>
        </w:rPr>
        <w:t>declaration</w:t>
      </w:r>
      <w:proofErr w:type="spellEnd"/>
      <w:r w:rsidRPr="00B73A1A">
        <w:rPr>
          <w:color w:val="21252B"/>
        </w:rPr>
        <w:t xml:space="preserve"> Form for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with the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authorities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between</w:t>
      </w:r>
      <w:proofErr w:type="spellEnd"/>
      <w:r w:rsidRPr="00B73A1A">
        <w:rPr>
          <w:color w:val="21252B"/>
        </w:rPr>
        <w:t xml:space="preserve"> March 1 and </w:t>
      </w:r>
      <w:proofErr w:type="spellStart"/>
      <w:r w:rsidRPr="00B73A1A">
        <w:rPr>
          <w:color w:val="21252B"/>
        </w:rPr>
        <w:t>June</w:t>
      </w:r>
      <w:proofErr w:type="spellEnd"/>
      <w:r w:rsidRPr="00B73A1A">
        <w:rPr>
          <w:color w:val="21252B"/>
        </w:rPr>
        <w:t xml:space="preserve"> 30 of the </w:t>
      </w:r>
      <w:proofErr w:type="spellStart"/>
      <w:r w:rsidRPr="00B73A1A">
        <w:rPr>
          <w:color w:val="21252B"/>
        </w:rPr>
        <w:t>following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year</w:t>
      </w:r>
      <w:proofErr w:type="spellEnd"/>
      <w:r w:rsidRPr="00B73A1A">
        <w:rPr>
          <w:color w:val="21252B"/>
        </w:rPr>
        <w:t xml:space="preserve"> and </w:t>
      </w:r>
      <w:hyperlink r:id="rId6" w:history="1">
        <w:proofErr w:type="spellStart"/>
        <w:r w:rsidRPr="00B73A1A">
          <w:rPr>
            <w:rStyle w:val="Collegamentoipertestuale"/>
          </w:rPr>
          <w:t>settle</w:t>
        </w:r>
        <w:proofErr w:type="spellEnd"/>
        <w:r w:rsidRPr="00B73A1A">
          <w:rPr>
            <w:rStyle w:val="Collegamentoipertestuale"/>
          </w:rPr>
          <w:t xml:space="preserve"> the </w:t>
        </w:r>
        <w:proofErr w:type="spellStart"/>
        <w:r w:rsidRPr="00B73A1A">
          <w:rPr>
            <w:rStyle w:val="Collegamentoipertestuale"/>
          </w:rPr>
          <w:t>comprehensive</w:t>
        </w:r>
        <w:proofErr w:type="spellEnd"/>
        <w:r w:rsidRPr="00B73A1A">
          <w:rPr>
            <w:rStyle w:val="Collegamentoipertestuale"/>
          </w:rPr>
          <w:t xml:space="preserve"> </w:t>
        </w:r>
        <w:proofErr w:type="spellStart"/>
        <w:r w:rsidRPr="00B73A1A">
          <w:rPr>
            <w:rStyle w:val="Collegamentoipertestuale"/>
          </w:rPr>
          <w:t>income</w:t>
        </w:r>
        <w:proofErr w:type="spellEnd"/>
        <w:r w:rsidRPr="00B73A1A">
          <w:rPr>
            <w:rStyle w:val="Collegamentoipertestuale"/>
          </w:rPr>
          <w:t xml:space="preserve"> </w:t>
        </w:r>
        <w:proofErr w:type="spellStart"/>
        <w:r w:rsidRPr="00B73A1A">
          <w:rPr>
            <w:rStyle w:val="Collegamentoipertestuale"/>
          </w:rPr>
          <w:t>tax</w:t>
        </w:r>
        <w:proofErr w:type="spellEnd"/>
      </w:hyperlink>
      <w:r w:rsidRPr="00B73A1A">
        <w:rPr>
          <w:color w:val="21252B"/>
        </w:rPr>
        <w:t>.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color w:val="21252B"/>
        </w:rPr>
        <w:t>Foreigners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who</w:t>
      </w:r>
      <w:proofErr w:type="spellEnd"/>
      <w:r w:rsidRPr="00B73A1A">
        <w:rPr>
          <w:color w:val="21252B"/>
        </w:rPr>
        <w:t xml:space="preserve"> are non-</w:t>
      </w:r>
      <w:proofErr w:type="spellStart"/>
      <w:r w:rsidRPr="00B73A1A">
        <w:rPr>
          <w:color w:val="21252B"/>
        </w:rPr>
        <w:t>resident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individuals</w:t>
      </w:r>
      <w:proofErr w:type="spellEnd"/>
      <w:r w:rsidRPr="00B73A1A">
        <w:rPr>
          <w:color w:val="21252B"/>
        </w:rPr>
        <w:t xml:space="preserve"> are </w:t>
      </w:r>
      <w:proofErr w:type="spellStart"/>
      <w:r w:rsidRPr="00B73A1A">
        <w:rPr>
          <w:color w:val="21252B"/>
        </w:rPr>
        <w:t>not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required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settle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comprehensive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>.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 xml:space="preserve">China </w:t>
      </w:r>
      <w:proofErr w:type="spellStart"/>
      <w:r w:rsidRPr="00B73A1A">
        <w:rPr>
          <w:color w:val="21252B"/>
        </w:rPr>
        <w:t>has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signed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agreements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avoid</w:t>
      </w:r>
      <w:proofErr w:type="spellEnd"/>
      <w:r w:rsidRPr="00B73A1A">
        <w:rPr>
          <w:color w:val="21252B"/>
        </w:rPr>
        <w:t xml:space="preserve"> double </w:t>
      </w:r>
      <w:proofErr w:type="spellStart"/>
      <w:r w:rsidRPr="00B73A1A">
        <w:rPr>
          <w:color w:val="21252B"/>
        </w:rPr>
        <w:t>taxation</w:t>
      </w:r>
      <w:proofErr w:type="spellEnd"/>
      <w:r w:rsidRPr="00B73A1A">
        <w:rPr>
          <w:color w:val="21252B"/>
        </w:rPr>
        <w:t xml:space="preserve"> with 114 </w:t>
      </w:r>
      <w:proofErr w:type="spellStart"/>
      <w:r w:rsidRPr="00B73A1A">
        <w:rPr>
          <w:color w:val="21252B"/>
        </w:rPr>
        <w:t>countries</w:t>
      </w:r>
      <w:proofErr w:type="spellEnd"/>
      <w:r w:rsidRPr="00B73A1A">
        <w:rPr>
          <w:color w:val="21252B"/>
        </w:rPr>
        <w:t xml:space="preserve"> and </w:t>
      </w:r>
      <w:proofErr w:type="spellStart"/>
      <w:r w:rsidRPr="00B73A1A">
        <w:rPr>
          <w:color w:val="21252B"/>
        </w:rPr>
        <w:t>regions</w:t>
      </w:r>
      <w:proofErr w:type="spellEnd"/>
      <w:r w:rsidRPr="00B73A1A">
        <w:rPr>
          <w:color w:val="21252B"/>
        </w:rPr>
        <w:t xml:space="preserve">. </w:t>
      </w:r>
      <w:proofErr w:type="spellStart"/>
      <w:r w:rsidRPr="00B73A1A">
        <w:rPr>
          <w:color w:val="21252B"/>
        </w:rPr>
        <w:t>Expats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eligible</w:t>
      </w:r>
      <w:proofErr w:type="spellEnd"/>
      <w:r w:rsidRPr="00B73A1A">
        <w:rPr>
          <w:color w:val="21252B"/>
        </w:rPr>
        <w:t xml:space="preserve"> for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reductions</w:t>
      </w:r>
      <w:proofErr w:type="spellEnd"/>
      <w:r w:rsidRPr="00B73A1A">
        <w:rPr>
          <w:color w:val="21252B"/>
        </w:rPr>
        <w:t xml:space="preserve"> or </w:t>
      </w:r>
      <w:proofErr w:type="spellStart"/>
      <w:r w:rsidRPr="00B73A1A">
        <w:rPr>
          <w:color w:val="21252B"/>
        </w:rPr>
        <w:t>exemptions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stipulated</w:t>
      </w:r>
      <w:proofErr w:type="spellEnd"/>
      <w:r w:rsidRPr="00B73A1A">
        <w:rPr>
          <w:color w:val="21252B"/>
        </w:rPr>
        <w:t xml:space="preserve"> in the </w:t>
      </w:r>
      <w:proofErr w:type="spellStart"/>
      <w:r w:rsidRPr="00B73A1A">
        <w:rPr>
          <w:color w:val="21252B"/>
        </w:rPr>
        <w:t>agreements</w:t>
      </w:r>
      <w:proofErr w:type="spellEnd"/>
      <w:r w:rsidRPr="00B73A1A">
        <w:rPr>
          <w:color w:val="21252B"/>
        </w:rPr>
        <w:t xml:space="preserve"> can </w:t>
      </w:r>
      <w:proofErr w:type="spellStart"/>
      <w:r w:rsidRPr="00B73A1A">
        <w:rPr>
          <w:color w:val="21252B"/>
        </w:rPr>
        <w:t>determine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whether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they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meet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conditions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enjoy</w:t>
      </w:r>
      <w:proofErr w:type="spellEnd"/>
      <w:r w:rsidRPr="00B73A1A">
        <w:rPr>
          <w:color w:val="21252B"/>
        </w:rPr>
        <w:t xml:space="preserve"> the benefits of </w:t>
      </w:r>
      <w:proofErr w:type="spellStart"/>
      <w:r w:rsidRPr="00B73A1A">
        <w:rPr>
          <w:color w:val="21252B"/>
        </w:rPr>
        <w:t>these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treaties</w:t>
      </w:r>
      <w:proofErr w:type="spellEnd"/>
      <w:r w:rsidRPr="00B73A1A">
        <w:rPr>
          <w:color w:val="21252B"/>
        </w:rPr>
        <w:t>.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hyperlink r:id="rId7" w:history="1">
        <w:r w:rsidRPr="00B73A1A">
          <w:rPr>
            <w:rStyle w:val="Collegamentoipertestuale"/>
            <w:color w:val="236FA1"/>
          </w:rPr>
          <w:t xml:space="preserve">Here </w:t>
        </w:r>
        <w:proofErr w:type="spellStart"/>
        <w:r w:rsidRPr="00B73A1A">
          <w:rPr>
            <w:rStyle w:val="Collegamentoipertestuale"/>
            <w:color w:val="236FA1"/>
          </w:rPr>
          <w:t>is</w:t>
        </w:r>
        <w:proofErr w:type="spellEnd"/>
        <w:r w:rsidRPr="00B73A1A">
          <w:rPr>
            <w:rStyle w:val="Collegamentoipertestuale"/>
            <w:color w:val="236FA1"/>
          </w:rPr>
          <w:t xml:space="preserve"> a list of the </w:t>
        </w:r>
        <w:proofErr w:type="spellStart"/>
        <w:r w:rsidRPr="00B73A1A">
          <w:rPr>
            <w:rStyle w:val="Collegamentoipertestuale"/>
            <w:color w:val="236FA1"/>
          </w:rPr>
          <w:t>countries</w:t>
        </w:r>
        <w:proofErr w:type="spellEnd"/>
        <w:r w:rsidRPr="00B73A1A">
          <w:rPr>
            <w:rStyle w:val="Collegamentoipertestuale"/>
            <w:color w:val="236FA1"/>
          </w:rPr>
          <w:t xml:space="preserve"> and </w:t>
        </w:r>
        <w:proofErr w:type="spellStart"/>
        <w:r w:rsidRPr="00B73A1A">
          <w:rPr>
            <w:rStyle w:val="Collegamentoipertestuale"/>
            <w:color w:val="236FA1"/>
          </w:rPr>
          <w:t>regions</w:t>
        </w:r>
        <w:proofErr w:type="spellEnd"/>
        <w:r w:rsidRPr="00B73A1A">
          <w:rPr>
            <w:rStyle w:val="Collegamentoipertestuale"/>
            <w:color w:val="236FA1"/>
          </w:rPr>
          <w:t xml:space="preserve"> </w:t>
        </w:r>
        <w:proofErr w:type="spellStart"/>
        <w:r w:rsidRPr="00B73A1A">
          <w:rPr>
            <w:rStyle w:val="Collegamentoipertestuale"/>
            <w:color w:val="236FA1"/>
          </w:rPr>
          <w:t>that</w:t>
        </w:r>
        <w:proofErr w:type="spellEnd"/>
        <w:r w:rsidRPr="00B73A1A">
          <w:rPr>
            <w:rStyle w:val="Collegamentoipertestuale"/>
            <w:color w:val="236FA1"/>
          </w:rPr>
          <w:t xml:space="preserve"> </w:t>
        </w:r>
        <w:proofErr w:type="spellStart"/>
        <w:r w:rsidRPr="00B73A1A">
          <w:rPr>
            <w:rStyle w:val="Collegamentoipertestuale"/>
            <w:color w:val="236FA1"/>
          </w:rPr>
          <w:t>have</w:t>
        </w:r>
        <w:proofErr w:type="spellEnd"/>
        <w:r w:rsidRPr="00B73A1A">
          <w:rPr>
            <w:rStyle w:val="Collegamentoipertestuale"/>
            <w:color w:val="236FA1"/>
          </w:rPr>
          <w:t xml:space="preserve"> </w:t>
        </w:r>
        <w:proofErr w:type="spellStart"/>
        <w:r w:rsidRPr="00B73A1A">
          <w:rPr>
            <w:rStyle w:val="Collegamentoipertestuale"/>
            <w:color w:val="236FA1"/>
          </w:rPr>
          <w:t>signed</w:t>
        </w:r>
        <w:proofErr w:type="spellEnd"/>
        <w:r w:rsidRPr="00B73A1A">
          <w:rPr>
            <w:rStyle w:val="Collegamentoipertestuale"/>
            <w:color w:val="236FA1"/>
          </w:rPr>
          <w:t xml:space="preserve"> an </w:t>
        </w:r>
        <w:proofErr w:type="spellStart"/>
        <w:r w:rsidRPr="00B73A1A">
          <w:rPr>
            <w:rStyle w:val="Collegamentoipertestuale"/>
            <w:color w:val="236FA1"/>
          </w:rPr>
          <w:t>agreement</w:t>
        </w:r>
        <w:proofErr w:type="spellEnd"/>
        <w:r w:rsidRPr="00B73A1A">
          <w:rPr>
            <w:rStyle w:val="Collegamentoipertestuale"/>
            <w:color w:val="236FA1"/>
          </w:rPr>
          <w:t xml:space="preserve"> with China to </w:t>
        </w:r>
        <w:proofErr w:type="spellStart"/>
        <w:r w:rsidRPr="00B73A1A">
          <w:rPr>
            <w:rStyle w:val="Collegamentoipertestuale"/>
            <w:color w:val="236FA1"/>
          </w:rPr>
          <w:t>prevent</w:t>
        </w:r>
        <w:proofErr w:type="spellEnd"/>
        <w:r w:rsidRPr="00B73A1A">
          <w:rPr>
            <w:rStyle w:val="Collegamentoipertestuale"/>
            <w:color w:val="236FA1"/>
          </w:rPr>
          <w:t xml:space="preserve"> double </w:t>
        </w:r>
        <w:proofErr w:type="spellStart"/>
        <w:r w:rsidRPr="00B73A1A">
          <w:rPr>
            <w:rStyle w:val="Collegamentoipertestuale"/>
            <w:color w:val="236FA1"/>
          </w:rPr>
          <w:t>taxation</w:t>
        </w:r>
        <w:proofErr w:type="spellEnd"/>
        <w:r w:rsidRPr="00B73A1A">
          <w:rPr>
            <w:rStyle w:val="Collegamentoipertestuale"/>
            <w:color w:val="236FA1"/>
          </w:rPr>
          <w:t>.</w:t>
        </w:r>
      </w:hyperlink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rStyle w:val="Enfasigrassetto"/>
          <w:color w:val="21252B"/>
          <w:sz w:val="42"/>
          <w:szCs w:val="42"/>
        </w:rPr>
        <w:t xml:space="preserve">How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much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should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I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pay</w:t>
      </w:r>
      <w:proofErr w:type="spellEnd"/>
      <w:r w:rsidRPr="00B73A1A">
        <w:rPr>
          <w:rStyle w:val="Enfasigrassetto"/>
          <w:color w:val="21252B"/>
          <w:sz w:val="42"/>
          <w:szCs w:val="42"/>
        </w:rPr>
        <w:t>?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 xml:space="preserve">The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system</w:t>
      </w:r>
      <w:proofErr w:type="spellEnd"/>
      <w:r w:rsidRPr="00B73A1A">
        <w:rPr>
          <w:color w:val="21252B"/>
        </w:rPr>
        <w:t xml:space="preserve"> in China </w:t>
      </w:r>
      <w:proofErr w:type="spellStart"/>
      <w:r w:rsidRPr="00B73A1A">
        <w:rPr>
          <w:color w:val="21252B"/>
        </w:rPr>
        <w:t>is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based</w:t>
      </w:r>
      <w:proofErr w:type="spellEnd"/>
      <w:r w:rsidRPr="00B73A1A">
        <w:rPr>
          <w:color w:val="21252B"/>
        </w:rPr>
        <w:t xml:space="preserve"> on a progressive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rate </w:t>
      </w:r>
      <w:proofErr w:type="spellStart"/>
      <w:r w:rsidRPr="00B73A1A">
        <w:rPr>
          <w:color w:val="21252B"/>
        </w:rPr>
        <w:t>system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meaning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that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rate </w:t>
      </w:r>
      <w:proofErr w:type="spellStart"/>
      <w:r w:rsidRPr="00B73A1A">
        <w:rPr>
          <w:color w:val="21252B"/>
        </w:rPr>
        <w:t>increases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as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taxable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increases</w:t>
      </w:r>
      <w:proofErr w:type="spellEnd"/>
      <w:r w:rsidRPr="00B73A1A">
        <w:rPr>
          <w:rStyle w:val="Enfasigrassetto"/>
          <w:color w:val="21252B"/>
        </w:rPr>
        <w:t>.</w:t>
      </w: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rStyle w:val="Enfasigrassetto"/>
          <w:color w:val="236FA1"/>
          <w:sz w:val="36"/>
          <w:szCs w:val="36"/>
        </w:rPr>
        <w:t>Calculating</w:t>
      </w:r>
      <w:proofErr w:type="spellEnd"/>
      <w:r w:rsidRPr="00B73A1A">
        <w:rPr>
          <w:rStyle w:val="Enfasigrassetto"/>
          <w:color w:val="236FA1"/>
          <w:sz w:val="36"/>
          <w:szCs w:val="36"/>
        </w:rPr>
        <w:t xml:space="preserve"> </w:t>
      </w:r>
      <w:proofErr w:type="spellStart"/>
      <w:r w:rsidRPr="00B73A1A">
        <w:rPr>
          <w:rStyle w:val="Enfasigrassetto"/>
          <w:color w:val="236FA1"/>
          <w:sz w:val="36"/>
          <w:szCs w:val="36"/>
        </w:rPr>
        <w:t>Taxable</w:t>
      </w:r>
      <w:proofErr w:type="spellEnd"/>
      <w:r w:rsidRPr="00B73A1A">
        <w:rPr>
          <w:rStyle w:val="Enfasigrassetto"/>
          <w:color w:val="236FA1"/>
          <w:sz w:val="36"/>
          <w:szCs w:val="36"/>
        </w:rPr>
        <w:t xml:space="preserve"> </w:t>
      </w:r>
      <w:proofErr w:type="spellStart"/>
      <w:r w:rsidRPr="00B73A1A">
        <w:rPr>
          <w:rStyle w:val="Enfasigrassetto"/>
          <w:color w:val="236FA1"/>
          <w:sz w:val="36"/>
          <w:szCs w:val="36"/>
        </w:rPr>
        <w:t>Income</w:t>
      </w:r>
      <w:proofErr w:type="spellEnd"/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rStyle w:val="Enfasigrassetto"/>
          <w:color w:val="21252B"/>
        </w:rPr>
        <w:t xml:space="preserve">Personal </w:t>
      </w:r>
      <w:proofErr w:type="spellStart"/>
      <w:r w:rsidRPr="00B73A1A">
        <w:rPr>
          <w:rStyle w:val="Enfasigrassetto"/>
          <w:color w:val="21252B"/>
        </w:rPr>
        <w:t>Income</w:t>
      </w:r>
      <w:proofErr w:type="spellEnd"/>
      <w:r w:rsidRPr="00B73A1A">
        <w:rPr>
          <w:rStyle w:val="Enfasigrassetto"/>
          <w:color w:val="21252B"/>
        </w:rPr>
        <w:t xml:space="preserve"> </w:t>
      </w:r>
      <w:proofErr w:type="spellStart"/>
      <w:r w:rsidRPr="00B73A1A">
        <w:rPr>
          <w:rStyle w:val="Enfasigrassetto"/>
          <w:color w:val="21252B"/>
        </w:rPr>
        <w:t>Tax</w:t>
      </w:r>
      <w:proofErr w:type="spellEnd"/>
      <w:r w:rsidRPr="00B73A1A">
        <w:rPr>
          <w:rStyle w:val="Enfasigrassetto"/>
          <w:color w:val="21252B"/>
        </w:rPr>
        <w:t xml:space="preserve"> </w:t>
      </w:r>
      <w:proofErr w:type="spellStart"/>
      <w:r w:rsidRPr="00B73A1A">
        <w:rPr>
          <w:rStyle w:val="Enfasigrassetto"/>
          <w:color w:val="21252B"/>
        </w:rPr>
        <w:t>Rates</w:t>
      </w:r>
      <w:proofErr w:type="spellEnd"/>
      <w:r w:rsidRPr="00B73A1A">
        <w:rPr>
          <w:rStyle w:val="Enfasigrassetto"/>
          <w:color w:val="21252B"/>
        </w:rPr>
        <w:t xml:space="preserve"> (</w:t>
      </w:r>
      <w:proofErr w:type="spellStart"/>
      <w:r w:rsidRPr="00B73A1A">
        <w:rPr>
          <w:rStyle w:val="Enfasigrassetto"/>
          <w:color w:val="21252B"/>
        </w:rPr>
        <w:t>Yearly</w:t>
      </w:r>
      <w:proofErr w:type="spellEnd"/>
      <w:r w:rsidRPr="00B73A1A">
        <w:rPr>
          <w:rStyle w:val="Enfasigrassetto"/>
          <w:color w:val="21252B"/>
        </w:rPr>
        <w:t xml:space="preserve"> </w:t>
      </w:r>
      <w:proofErr w:type="spellStart"/>
      <w:r w:rsidRPr="00B73A1A">
        <w:rPr>
          <w:rStyle w:val="Enfasigrassetto"/>
          <w:color w:val="21252B"/>
        </w:rPr>
        <w:t>Income</w:t>
      </w:r>
      <w:proofErr w:type="spellEnd"/>
      <w:r w:rsidRPr="00B73A1A">
        <w:rPr>
          <w:rStyle w:val="Enfasigrassetto"/>
          <w:color w:val="21252B"/>
        </w:rPr>
        <w:t>)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(</w:t>
      </w:r>
      <w:proofErr w:type="spellStart"/>
      <w:r w:rsidRPr="00B73A1A">
        <w:rPr>
          <w:rStyle w:val="Enfasicorsivo"/>
          <w:color w:val="21252B"/>
        </w:rPr>
        <w:t>Applicable</w:t>
      </w:r>
      <w:proofErr w:type="spellEnd"/>
      <w:r w:rsidRPr="00B73A1A">
        <w:rPr>
          <w:rStyle w:val="Enfasicorsivo"/>
          <w:color w:val="21252B"/>
        </w:rPr>
        <w:t xml:space="preserve"> to </w:t>
      </w:r>
      <w:proofErr w:type="spellStart"/>
      <w:r w:rsidRPr="00B73A1A">
        <w:rPr>
          <w:rStyle w:val="Enfasicorsivo"/>
          <w:color w:val="21252B"/>
        </w:rPr>
        <w:t>Chinese</w:t>
      </w:r>
      <w:proofErr w:type="spellEnd"/>
      <w:r w:rsidRPr="00B73A1A">
        <w:rPr>
          <w:rStyle w:val="Enfasicorsivo"/>
          <w:color w:val="21252B"/>
        </w:rPr>
        <w:t xml:space="preserve"> </w:t>
      </w:r>
      <w:proofErr w:type="spellStart"/>
      <w:r w:rsidRPr="00B73A1A">
        <w:rPr>
          <w:rStyle w:val="Enfasicorsivo"/>
          <w:color w:val="21252B"/>
        </w:rPr>
        <w:t>tax</w:t>
      </w:r>
      <w:proofErr w:type="spellEnd"/>
      <w:r w:rsidRPr="00B73A1A">
        <w:rPr>
          <w:rStyle w:val="Enfasicorsivo"/>
          <w:color w:val="21252B"/>
        </w:rPr>
        <w:t xml:space="preserve"> </w:t>
      </w:r>
      <w:proofErr w:type="spellStart"/>
      <w:r w:rsidRPr="00B73A1A">
        <w:rPr>
          <w:rStyle w:val="Enfasicorsivo"/>
          <w:color w:val="21252B"/>
        </w:rPr>
        <w:t>residents</w:t>
      </w:r>
      <w:proofErr w:type="spellEnd"/>
      <w:r w:rsidRPr="00B73A1A">
        <w:rPr>
          <w:color w:val="21252B"/>
        </w:rPr>
        <w:t>)</w:t>
      </w:r>
    </w:p>
    <w:tbl>
      <w:tblPr>
        <w:tblW w:w="48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807"/>
        <w:gridCol w:w="1126"/>
        <w:gridCol w:w="3512"/>
      </w:tblGrid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Bracket</w:t>
            </w:r>
            <w:proofErr w:type="spellEnd"/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Annual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Taxable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Income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(CNY)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Rate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Quick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Deduction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(CNY)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Less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than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36,000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36,000 and 144,000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10%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2,520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144,000 and 300,000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20%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16,920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4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300,000 and 420,000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25%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31,920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5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420,000 and 660,000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30%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52,920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6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660,000 and 960,000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35%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85,920</w:t>
            </w:r>
          </w:p>
        </w:tc>
      </w:tr>
      <w:tr w:rsidR="00B73A1A" w:rsidRPr="00B73A1A" w:rsidTr="00B73A1A">
        <w:trPr>
          <w:trHeight w:val="510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7</w:t>
            </w:r>
          </w:p>
        </w:tc>
        <w:tc>
          <w:tcPr>
            <w:tcW w:w="2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Over 960,000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45%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181,920</w:t>
            </w:r>
          </w:p>
        </w:tc>
      </w:tr>
    </w:tbl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lastRenderedPageBreak/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rStyle w:val="Enfasigrassetto"/>
          <w:color w:val="000000"/>
        </w:rPr>
        <w:t xml:space="preserve">Personal </w:t>
      </w:r>
      <w:proofErr w:type="spellStart"/>
      <w:r w:rsidRPr="00B73A1A">
        <w:rPr>
          <w:rStyle w:val="Enfasigrassetto"/>
          <w:color w:val="000000"/>
        </w:rPr>
        <w:t>Income</w:t>
      </w:r>
      <w:proofErr w:type="spellEnd"/>
      <w:r w:rsidRPr="00B73A1A">
        <w:rPr>
          <w:rStyle w:val="Enfasigrassetto"/>
          <w:color w:val="000000"/>
        </w:rPr>
        <w:t xml:space="preserve"> </w:t>
      </w:r>
      <w:proofErr w:type="spellStart"/>
      <w:r w:rsidRPr="00B73A1A">
        <w:rPr>
          <w:rStyle w:val="Enfasigrassetto"/>
          <w:color w:val="000000"/>
        </w:rPr>
        <w:t>Tax</w:t>
      </w:r>
      <w:proofErr w:type="spellEnd"/>
      <w:r w:rsidRPr="00B73A1A">
        <w:rPr>
          <w:rStyle w:val="Enfasigrassetto"/>
          <w:color w:val="000000"/>
        </w:rPr>
        <w:t xml:space="preserve"> </w:t>
      </w:r>
      <w:proofErr w:type="spellStart"/>
      <w:r w:rsidRPr="00B73A1A">
        <w:rPr>
          <w:rStyle w:val="Enfasigrassetto"/>
          <w:color w:val="000000"/>
        </w:rPr>
        <w:t>Rates</w:t>
      </w:r>
      <w:proofErr w:type="spellEnd"/>
      <w:r w:rsidRPr="00B73A1A">
        <w:rPr>
          <w:rStyle w:val="Enfasigrassetto"/>
          <w:color w:val="000000"/>
        </w:rPr>
        <w:t xml:space="preserve"> (</w:t>
      </w:r>
      <w:proofErr w:type="spellStart"/>
      <w:r w:rsidRPr="00B73A1A">
        <w:rPr>
          <w:rStyle w:val="Enfasigrassetto"/>
          <w:color w:val="000000"/>
        </w:rPr>
        <w:t>Monthly</w:t>
      </w:r>
      <w:proofErr w:type="spellEnd"/>
      <w:r w:rsidRPr="00B73A1A">
        <w:rPr>
          <w:rStyle w:val="Enfasigrassetto"/>
          <w:color w:val="000000"/>
        </w:rPr>
        <w:t xml:space="preserve"> </w:t>
      </w:r>
      <w:proofErr w:type="spellStart"/>
      <w:r w:rsidRPr="00B73A1A">
        <w:rPr>
          <w:rStyle w:val="Enfasigrassetto"/>
          <w:color w:val="000000"/>
        </w:rPr>
        <w:t>Income</w:t>
      </w:r>
      <w:proofErr w:type="spellEnd"/>
      <w:r w:rsidRPr="00B73A1A">
        <w:rPr>
          <w:rStyle w:val="Enfasigrassetto"/>
          <w:color w:val="000000"/>
        </w:rPr>
        <w:t>)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(</w:t>
      </w:r>
      <w:proofErr w:type="spellStart"/>
      <w:r w:rsidRPr="00B73A1A">
        <w:rPr>
          <w:rStyle w:val="Enfasicorsivo"/>
          <w:color w:val="21252B"/>
        </w:rPr>
        <w:t>Applicable</w:t>
      </w:r>
      <w:proofErr w:type="spellEnd"/>
      <w:r w:rsidRPr="00B73A1A">
        <w:rPr>
          <w:rStyle w:val="Enfasicorsivo"/>
          <w:color w:val="21252B"/>
        </w:rPr>
        <w:t xml:space="preserve"> to non-</w:t>
      </w:r>
      <w:proofErr w:type="spellStart"/>
      <w:r w:rsidRPr="00B73A1A">
        <w:rPr>
          <w:rStyle w:val="Enfasicorsivo"/>
          <w:color w:val="21252B"/>
        </w:rPr>
        <w:t>resident</w:t>
      </w:r>
      <w:proofErr w:type="spellEnd"/>
      <w:r w:rsidRPr="00B73A1A">
        <w:rPr>
          <w:rStyle w:val="Enfasicorsivo"/>
          <w:color w:val="21252B"/>
        </w:rPr>
        <w:t xml:space="preserve"> </w:t>
      </w:r>
      <w:proofErr w:type="spellStart"/>
      <w:r w:rsidRPr="00B73A1A">
        <w:rPr>
          <w:rStyle w:val="Enfasicorsivo"/>
          <w:color w:val="21252B"/>
        </w:rPr>
        <w:t>individuals</w:t>
      </w:r>
      <w:proofErr w:type="spellEnd"/>
      <w:r w:rsidRPr="00B73A1A">
        <w:rPr>
          <w:color w:val="21252B"/>
        </w:rPr>
        <w:t>)</w:t>
      </w:r>
    </w:p>
    <w:tbl>
      <w:tblPr>
        <w:tblW w:w="49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917"/>
        <w:gridCol w:w="1121"/>
        <w:gridCol w:w="3498"/>
      </w:tblGrid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Bracket</w:t>
            </w:r>
            <w:proofErr w:type="spellEnd"/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Monthly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Taxable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Income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(CNY)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Rate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Quick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Tax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Deduction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(CNY)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Less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</w:t>
            </w: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than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3,000 and 12,000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10%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210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12,000 and 25,000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20%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1,410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4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25,000 and 35,000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25%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2,660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5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35,000 and 55,000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30%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4,410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6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proofErr w:type="spellStart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Between</w:t>
            </w:r>
            <w:proofErr w:type="spellEnd"/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 xml:space="preserve"> 55,000 and 80,000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35%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7,160</w:t>
            </w:r>
          </w:p>
        </w:tc>
      </w:tr>
      <w:tr w:rsidR="00B73A1A" w:rsidRPr="00B73A1A" w:rsidTr="00B73A1A">
        <w:trPr>
          <w:trHeight w:val="448"/>
        </w:trPr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7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Over 80,000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45%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A1A" w:rsidRPr="00B73A1A" w:rsidRDefault="00B73A1A" w:rsidP="00B73A1A">
            <w:pPr>
              <w:jc w:val="both"/>
              <w:rPr>
                <w:rFonts w:ascii="Times New Roman" w:hAnsi="Times New Roman" w:cs="Times New Roman"/>
                <w:color w:val="21252B"/>
                <w:sz w:val="21"/>
                <w:szCs w:val="21"/>
              </w:rPr>
            </w:pPr>
            <w:r w:rsidRPr="00B73A1A">
              <w:rPr>
                <w:rFonts w:ascii="Times New Roman" w:hAnsi="Times New Roman" w:cs="Times New Roman"/>
                <w:color w:val="21252B"/>
                <w:sz w:val="21"/>
                <w:szCs w:val="21"/>
              </w:rPr>
              <w:t>15,160</w:t>
            </w:r>
          </w:p>
        </w:tc>
      </w:tr>
    </w:tbl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rStyle w:val="Enfasigrassetto"/>
          <w:color w:val="236FA1"/>
        </w:rPr>
        <w:t>Taxable</w:t>
      </w:r>
      <w:proofErr w:type="spellEnd"/>
      <w:r w:rsidRPr="00B73A1A">
        <w:rPr>
          <w:rStyle w:val="Enfasigrassetto"/>
          <w:color w:val="236FA1"/>
        </w:rPr>
        <w:t xml:space="preserve"> </w:t>
      </w:r>
      <w:proofErr w:type="spellStart"/>
      <w:r w:rsidRPr="00B73A1A">
        <w:rPr>
          <w:rStyle w:val="Enfasigrassetto"/>
          <w:color w:val="236FA1"/>
        </w:rPr>
        <w:t>income</w:t>
      </w:r>
      <w:proofErr w:type="spellEnd"/>
      <w:r w:rsidRPr="00B73A1A">
        <w:rPr>
          <w:color w:val="21252B"/>
        </w:rPr>
        <w:t xml:space="preserve"> = (Total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>) – (</w:t>
      </w:r>
      <w:proofErr w:type="spellStart"/>
      <w:r w:rsidRPr="00B73A1A">
        <w:rPr>
          <w:color w:val="21252B"/>
        </w:rPr>
        <w:t>Initial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deduction</w:t>
      </w:r>
      <w:proofErr w:type="spellEnd"/>
      <w:r w:rsidRPr="00B73A1A">
        <w:rPr>
          <w:color w:val="21252B"/>
        </w:rPr>
        <w:t xml:space="preserve">) – (Special </w:t>
      </w:r>
      <w:proofErr w:type="spellStart"/>
      <w:r w:rsidRPr="00B73A1A">
        <w:rPr>
          <w:color w:val="21252B"/>
        </w:rPr>
        <w:t>additional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deduction</w:t>
      </w:r>
      <w:proofErr w:type="spellEnd"/>
      <w:r w:rsidRPr="00B73A1A">
        <w:rPr>
          <w:color w:val="21252B"/>
        </w:rPr>
        <w:t>/</w:t>
      </w:r>
      <w:proofErr w:type="spellStart"/>
      <w:r w:rsidRPr="00B73A1A">
        <w:rPr>
          <w:color w:val="21252B"/>
        </w:rPr>
        <w:t>Tax-deductible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allowance</w:t>
      </w:r>
      <w:proofErr w:type="spellEnd"/>
      <w:r w:rsidRPr="00B73A1A">
        <w:rPr>
          <w:color w:val="21252B"/>
        </w:rPr>
        <w:t xml:space="preserve"> (</w:t>
      </w:r>
      <w:proofErr w:type="spellStart"/>
      <w:r w:rsidRPr="00B73A1A">
        <w:rPr>
          <w:color w:val="21252B"/>
        </w:rPr>
        <w:t>especially</w:t>
      </w:r>
      <w:proofErr w:type="spellEnd"/>
      <w:r w:rsidRPr="00B73A1A">
        <w:rPr>
          <w:color w:val="21252B"/>
        </w:rPr>
        <w:t xml:space="preserve"> for </w:t>
      </w:r>
      <w:proofErr w:type="spellStart"/>
      <w:r w:rsidRPr="00B73A1A">
        <w:rPr>
          <w:color w:val="21252B"/>
        </w:rPr>
        <w:t>foreigners</w:t>
      </w:r>
      <w:proofErr w:type="spellEnd"/>
      <w:r w:rsidRPr="00B73A1A">
        <w:rPr>
          <w:color w:val="21252B"/>
        </w:rPr>
        <w:t>)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rStyle w:val="Enfasigrassetto"/>
          <w:color w:val="236FA1"/>
        </w:rPr>
        <w:t>Tax</w:t>
      </w:r>
      <w:proofErr w:type="spellEnd"/>
      <w:r w:rsidRPr="00B73A1A">
        <w:rPr>
          <w:rStyle w:val="Enfasigrassetto"/>
          <w:color w:val="236FA1"/>
        </w:rPr>
        <w:t xml:space="preserve"> </w:t>
      </w:r>
      <w:proofErr w:type="spellStart"/>
      <w:r w:rsidRPr="00B73A1A">
        <w:rPr>
          <w:rStyle w:val="Enfasigrassetto"/>
          <w:color w:val="236FA1"/>
        </w:rPr>
        <w:t>payable</w:t>
      </w:r>
      <w:proofErr w:type="spellEnd"/>
      <w:r w:rsidRPr="00B73A1A">
        <w:rPr>
          <w:color w:val="21252B"/>
        </w:rPr>
        <w:t xml:space="preserve"> = (</w:t>
      </w:r>
      <w:proofErr w:type="spellStart"/>
      <w:r w:rsidRPr="00B73A1A">
        <w:rPr>
          <w:color w:val="21252B"/>
        </w:rPr>
        <w:t>Taxable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*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rate) – (</w:t>
      </w:r>
      <w:proofErr w:type="spellStart"/>
      <w:r w:rsidRPr="00B73A1A">
        <w:rPr>
          <w:color w:val="21252B"/>
        </w:rPr>
        <w:t>quick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deduction</w:t>
      </w:r>
      <w:proofErr w:type="spellEnd"/>
      <w:r w:rsidRPr="00B73A1A">
        <w:rPr>
          <w:color w:val="21252B"/>
        </w:rPr>
        <w:t>)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>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rStyle w:val="Enfasigrassetto"/>
          <w:color w:val="21252B"/>
          <w:sz w:val="42"/>
          <w:szCs w:val="42"/>
        </w:rPr>
        <w:t>What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are the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tax</w:t>
      </w:r>
      <w:proofErr w:type="spellEnd"/>
      <w:r w:rsidRPr="00B73A1A">
        <w:rPr>
          <w:rStyle w:val="Enfasigrassetto"/>
          <w:color w:val="21252B"/>
          <w:sz w:val="42"/>
          <w:szCs w:val="42"/>
        </w:rPr>
        <w:t xml:space="preserve"> benefits for </w:t>
      </w:r>
      <w:proofErr w:type="spellStart"/>
      <w:r w:rsidRPr="00B73A1A">
        <w:rPr>
          <w:rStyle w:val="Enfasigrassetto"/>
          <w:color w:val="21252B"/>
          <w:sz w:val="42"/>
          <w:szCs w:val="42"/>
        </w:rPr>
        <w:t>expats</w:t>
      </w:r>
      <w:proofErr w:type="spellEnd"/>
      <w:r w:rsidRPr="00B73A1A">
        <w:rPr>
          <w:rStyle w:val="Enfasigrassetto"/>
          <w:color w:val="21252B"/>
          <w:sz w:val="42"/>
          <w:szCs w:val="42"/>
        </w:rPr>
        <w:t>?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 xml:space="preserve">From </w:t>
      </w:r>
      <w:proofErr w:type="spellStart"/>
      <w:r w:rsidRPr="00B73A1A">
        <w:rPr>
          <w:color w:val="21252B"/>
        </w:rPr>
        <w:t>Jan</w:t>
      </w:r>
      <w:proofErr w:type="spellEnd"/>
      <w:r w:rsidRPr="00B73A1A">
        <w:rPr>
          <w:color w:val="21252B"/>
        </w:rPr>
        <w:t xml:space="preserve"> 1, 2019 to </w:t>
      </w:r>
      <w:proofErr w:type="spellStart"/>
      <w:r w:rsidRPr="00B73A1A">
        <w:rPr>
          <w:color w:val="21252B"/>
        </w:rPr>
        <w:t>Dec</w:t>
      </w:r>
      <w:proofErr w:type="spellEnd"/>
      <w:r w:rsidRPr="00B73A1A">
        <w:rPr>
          <w:color w:val="21252B"/>
        </w:rPr>
        <w:t xml:space="preserve"> 31, 2027, </w:t>
      </w:r>
      <w:proofErr w:type="spellStart"/>
      <w:r w:rsidRPr="00B73A1A">
        <w:rPr>
          <w:color w:val="21252B"/>
        </w:rPr>
        <w:t>expats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who</w:t>
      </w:r>
      <w:proofErr w:type="spellEnd"/>
      <w:r w:rsidRPr="00B73A1A">
        <w:rPr>
          <w:color w:val="21252B"/>
        </w:rPr>
        <w:t xml:space="preserve"> are </w:t>
      </w:r>
      <w:proofErr w:type="spellStart"/>
      <w:r w:rsidRPr="00B73A1A">
        <w:rPr>
          <w:color w:val="21252B"/>
        </w:rPr>
        <w:t>Chinese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residents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may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choose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enjoy</w:t>
      </w:r>
      <w:proofErr w:type="spellEnd"/>
      <w:r w:rsidRPr="00B73A1A">
        <w:rPr>
          <w:color w:val="21252B"/>
        </w:rPr>
        <w:t xml:space="preserve"> special </w:t>
      </w:r>
      <w:proofErr w:type="spellStart"/>
      <w:r w:rsidRPr="00B73A1A">
        <w:rPr>
          <w:color w:val="21252B"/>
        </w:rPr>
        <w:t>additional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deductions</w:t>
      </w:r>
      <w:proofErr w:type="spellEnd"/>
      <w:r w:rsidRPr="00B73A1A">
        <w:rPr>
          <w:color w:val="21252B"/>
        </w:rPr>
        <w:t xml:space="preserve"> of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 or the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-free treatment of </w:t>
      </w:r>
      <w:proofErr w:type="spellStart"/>
      <w:r w:rsidRPr="00B73A1A">
        <w:rPr>
          <w:color w:val="21252B"/>
        </w:rPr>
        <w:t>housing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subsidies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language</w:t>
      </w:r>
      <w:proofErr w:type="spellEnd"/>
      <w:r w:rsidRPr="00B73A1A">
        <w:rPr>
          <w:color w:val="21252B"/>
        </w:rPr>
        <w:t xml:space="preserve"> training and </w:t>
      </w:r>
      <w:proofErr w:type="spellStart"/>
      <w:r w:rsidRPr="00B73A1A">
        <w:rPr>
          <w:color w:val="21252B"/>
        </w:rPr>
        <w:t>children's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education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fees</w:t>
      </w:r>
      <w:proofErr w:type="spellEnd"/>
      <w:r w:rsidRPr="00B73A1A">
        <w:rPr>
          <w:color w:val="21252B"/>
        </w:rPr>
        <w:t>.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r w:rsidRPr="00B73A1A">
        <w:rPr>
          <w:color w:val="21252B"/>
        </w:rPr>
        <w:t xml:space="preserve">From </w:t>
      </w:r>
      <w:proofErr w:type="spellStart"/>
      <w:r w:rsidRPr="00B73A1A">
        <w:rPr>
          <w:color w:val="21252B"/>
        </w:rPr>
        <w:t>Jan</w:t>
      </w:r>
      <w:proofErr w:type="spellEnd"/>
      <w:r w:rsidRPr="00B73A1A">
        <w:rPr>
          <w:color w:val="21252B"/>
        </w:rPr>
        <w:t xml:space="preserve"> 1, 2028, </w:t>
      </w:r>
      <w:proofErr w:type="spellStart"/>
      <w:r w:rsidRPr="00B73A1A">
        <w:rPr>
          <w:color w:val="21252B"/>
        </w:rPr>
        <w:t>expats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will</w:t>
      </w:r>
      <w:proofErr w:type="spellEnd"/>
      <w:r w:rsidRPr="00B73A1A">
        <w:rPr>
          <w:color w:val="21252B"/>
        </w:rPr>
        <w:t xml:space="preserve"> no </w:t>
      </w:r>
      <w:proofErr w:type="spellStart"/>
      <w:r w:rsidRPr="00B73A1A">
        <w:rPr>
          <w:color w:val="21252B"/>
        </w:rPr>
        <w:t>longer</w:t>
      </w:r>
      <w:proofErr w:type="spellEnd"/>
      <w:r w:rsidRPr="00B73A1A">
        <w:rPr>
          <w:color w:val="21252B"/>
        </w:rPr>
        <w:t xml:space="preserve"> be </w:t>
      </w:r>
      <w:proofErr w:type="spellStart"/>
      <w:r w:rsidRPr="00B73A1A">
        <w:rPr>
          <w:color w:val="21252B"/>
        </w:rPr>
        <w:t>able</w:t>
      </w:r>
      <w:proofErr w:type="spellEnd"/>
      <w:r w:rsidRPr="00B73A1A">
        <w:rPr>
          <w:color w:val="21252B"/>
        </w:rPr>
        <w:t xml:space="preserve"> to </w:t>
      </w:r>
      <w:proofErr w:type="spellStart"/>
      <w:r w:rsidRPr="00B73A1A">
        <w:rPr>
          <w:color w:val="21252B"/>
        </w:rPr>
        <w:t>enjoy</w:t>
      </w:r>
      <w:proofErr w:type="spellEnd"/>
      <w:r w:rsidRPr="00B73A1A">
        <w:rPr>
          <w:color w:val="21252B"/>
        </w:rPr>
        <w:t xml:space="preserve"> the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 xml:space="preserve">-free treatment of </w:t>
      </w:r>
      <w:proofErr w:type="spellStart"/>
      <w:r w:rsidRPr="00B73A1A">
        <w:rPr>
          <w:color w:val="21252B"/>
        </w:rPr>
        <w:t>housing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subsidies</w:t>
      </w:r>
      <w:proofErr w:type="spellEnd"/>
      <w:r w:rsidRPr="00B73A1A">
        <w:rPr>
          <w:color w:val="21252B"/>
        </w:rPr>
        <w:t xml:space="preserve">, </w:t>
      </w:r>
      <w:proofErr w:type="spellStart"/>
      <w:r w:rsidRPr="00B73A1A">
        <w:rPr>
          <w:color w:val="21252B"/>
        </w:rPr>
        <w:t>language</w:t>
      </w:r>
      <w:proofErr w:type="spellEnd"/>
      <w:r w:rsidRPr="00B73A1A">
        <w:rPr>
          <w:color w:val="21252B"/>
        </w:rPr>
        <w:t xml:space="preserve"> training and </w:t>
      </w:r>
      <w:proofErr w:type="spellStart"/>
      <w:r w:rsidRPr="00B73A1A">
        <w:rPr>
          <w:color w:val="21252B"/>
        </w:rPr>
        <w:t>children's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education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fees</w:t>
      </w:r>
      <w:proofErr w:type="spellEnd"/>
      <w:r w:rsidRPr="00B73A1A">
        <w:rPr>
          <w:color w:val="21252B"/>
        </w:rPr>
        <w:t>. </w:t>
      </w:r>
    </w:p>
    <w:p w:rsidR="00B73A1A" w:rsidRPr="00B73A1A" w:rsidRDefault="00B73A1A" w:rsidP="00B73A1A">
      <w:pPr>
        <w:pStyle w:val="NormaleWeb"/>
        <w:jc w:val="both"/>
        <w:rPr>
          <w:color w:val="21252B"/>
        </w:rPr>
      </w:pPr>
      <w:proofErr w:type="spellStart"/>
      <w:r w:rsidRPr="00B73A1A">
        <w:rPr>
          <w:color w:val="21252B"/>
        </w:rPr>
        <w:t>Wages</w:t>
      </w:r>
      <w:proofErr w:type="spellEnd"/>
      <w:r w:rsidRPr="00B73A1A">
        <w:rPr>
          <w:color w:val="21252B"/>
        </w:rPr>
        <w:t xml:space="preserve"> and </w:t>
      </w:r>
      <w:proofErr w:type="spellStart"/>
      <w:r w:rsidRPr="00B73A1A">
        <w:rPr>
          <w:color w:val="21252B"/>
        </w:rPr>
        <w:t>salaries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earned</w:t>
      </w:r>
      <w:proofErr w:type="spellEnd"/>
      <w:r w:rsidRPr="00B73A1A">
        <w:rPr>
          <w:color w:val="21252B"/>
        </w:rPr>
        <w:t xml:space="preserve"> by </w:t>
      </w:r>
      <w:proofErr w:type="spellStart"/>
      <w:r w:rsidRPr="00B73A1A">
        <w:rPr>
          <w:color w:val="21252B"/>
        </w:rPr>
        <w:t>foreign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experts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who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meet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certain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conditions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may</w:t>
      </w:r>
      <w:proofErr w:type="spellEnd"/>
      <w:r w:rsidRPr="00B73A1A">
        <w:rPr>
          <w:color w:val="21252B"/>
        </w:rPr>
        <w:t xml:space="preserve"> be </w:t>
      </w:r>
      <w:proofErr w:type="spellStart"/>
      <w:r w:rsidRPr="00B73A1A">
        <w:rPr>
          <w:color w:val="21252B"/>
        </w:rPr>
        <w:t>exempt</w:t>
      </w:r>
      <w:proofErr w:type="spellEnd"/>
      <w:r w:rsidRPr="00B73A1A">
        <w:rPr>
          <w:color w:val="21252B"/>
        </w:rPr>
        <w:t xml:space="preserve"> from </w:t>
      </w:r>
      <w:proofErr w:type="spellStart"/>
      <w:r w:rsidRPr="00B73A1A">
        <w:rPr>
          <w:color w:val="21252B"/>
        </w:rPr>
        <w:t>individual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income</w:t>
      </w:r>
      <w:proofErr w:type="spellEnd"/>
      <w:r w:rsidRPr="00B73A1A">
        <w:rPr>
          <w:color w:val="21252B"/>
        </w:rPr>
        <w:t xml:space="preserve"> </w:t>
      </w:r>
      <w:proofErr w:type="spellStart"/>
      <w:r w:rsidRPr="00B73A1A">
        <w:rPr>
          <w:color w:val="21252B"/>
        </w:rPr>
        <w:t>tax</w:t>
      </w:r>
      <w:proofErr w:type="spellEnd"/>
      <w:r w:rsidRPr="00B73A1A">
        <w:rPr>
          <w:color w:val="21252B"/>
        </w:rPr>
        <w:t>. </w:t>
      </w:r>
    </w:p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B73A1A" w:rsidRPr="00B73A1A" w:rsidRDefault="00B73A1A" w:rsidP="00B73A1A">
      <w:pPr>
        <w:jc w:val="both"/>
        <w:rPr>
          <w:rFonts w:ascii="Times New Roman" w:hAnsi="Times New Roman" w:cs="Times New Roman"/>
        </w:rPr>
      </w:pPr>
    </w:p>
    <w:p w:rsidR="00F34A7E" w:rsidRPr="00B73A1A" w:rsidRDefault="00B73A1A" w:rsidP="00B73A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</w:t>
      </w:r>
      <w:hyperlink r:id="rId8" w:history="1">
        <w:r w:rsidRPr="00B0643D">
          <w:rPr>
            <w:rStyle w:val="Collegamentoipertestuale"/>
            <w:rFonts w:ascii="Times New Roman" w:hAnsi="Times New Roman" w:cs="Times New Roman"/>
          </w:rPr>
          <w:t>https://english.shanghai.gov.cn/en-PersonalIncomeTaxPolicies/20231215/a47eca3fa1384bffb</w:t>
        </w:r>
        <w:bookmarkStart w:id="0" w:name="_GoBack"/>
        <w:bookmarkEnd w:id="0"/>
        <w:r w:rsidRPr="00B0643D">
          <w:rPr>
            <w:rStyle w:val="Collegamentoipertestuale"/>
            <w:rFonts w:ascii="Times New Roman" w:hAnsi="Times New Roman" w:cs="Times New Roman"/>
          </w:rPr>
          <w:t>8c991809d2a4c4e.html</w:t>
        </w:r>
      </w:hyperlink>
      <w:r>
        <w:rPr>
          <w:rFonts w:ascii="Times New Roman" w:hAnsi="Times New Roman" w:cs="Times New Roman"/>
        </w:rPr>
        <w:t xml:space="preserve"> </w:t>
      </w:r>
    </w:p>
    <w:sectPr w:rsidR="00F34A7E" w:rsidRPr="00B73A1A" w:rsidSect="00B73A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1A" w:rsidRDefault="00B73A1A" w:rsidP="00B73A1A">
      <w:pPr>
        <w:spacing w:after="0" w:line="240" w:lineRule="auto"/>
      </w:pPr>
      <w:r>
        <w:separator/>
      </w:r>
    </w:p>
  </w:endnote>
  <w:endnote w:type="continuationSeparator" w:id="0">
    <w:p w:rsidR="00B73A1A" w:rsidRDefault="00B73A1A" w:rsidP="00B7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1A" w:rsidRDefault="00B73A1A" w:rsidP="00B73A1A">
      <w:pPr>
        <w:spacing w:after="0" w:line="240" w:lineRule="auto"/>
      </w:pPr>
      <w:r>
        <w:separator/>
      </w:r>
    </w:p>
  </w:footnote>
  <w:footnote w:type="continuationSeparator" w:id="0">
    <w:p w:rsidR="00B73A1A" w:rsidRDefault="00B73A1A" w:rsidP="00B7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4"/>
    <w:rsid w:val="002832ED"/>
    <w:rsid w:val="004D6FFB"/>
    <w:rsid w:val="005D38B7"/>
    <w:rsid w:val="008B6864"/>
    <w:rsid w:val="00B73A1A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FFB2"/>
  <w15:chartTrackingRefBased/>
  <w15:docId w15:val="{DD5CCEFE-8FB7-4DA9-9584-E9291E05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D3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4A7E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38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3A1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7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A1A"/>
  </w:style>
  <w:style w:type="paragraph" w:styleId="Pidipagina">
    <w:name w:val="footer"/>
    <w:basedOn w:val="Normale"/>
    <w:link w:val="PidipaginaCarattere"/>
    <w:uiPriority w:val="99"/>
    <w:unhideWhenUsed/>
    <w:rsid w:val="00B7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A1A"/>
  </w:style>
  <w:style w:type="character" w:styleId="Enfasicorsivo">
    <w:name w:val="Emphasis"/>
    <w:basedOn w:val="Carpredefinitoparagrafo"/>
    <w:uiPriority w:val="20"/>
    <w:qFormat/>
    <w:rsid w:val="00B73A1A"/>
    <w:rPr>
      <w:i/>
      <w:iCs/>
    </w:rPr>
  </w:style>
  <w:style w:type="character" w:styleId="Enfasigrassetto">
    <w:name w:val="Strong"/>
    <w:basedOn w:val="Carpredefinitoparagrafo"/>
    <w:uiPriority w:val="22"/>
    <w:qFormat/>
    <w:rsid w:val="00B73A1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73A1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shanghai.gov.cn/en-PersonalIncomeTaxPolicies/20231215/a47eca3fa1384bffb8c991809d2a4c4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inatax.gov.cn/eng/c101276/c101732/c5161345/cont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.shanghai.gov.cn/en-Tax/20240308/7f5c7e4bd41541efaae92f97a84e807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Zhang</dc:creator>
  <cp:keywords/>
  <dc:description/>
  <cp:lastModifiedBy>Giulia Zhang</cp:lastModifiedBy>
  <cp:revision>4</cp:revision>
  <dcterms:created xsi:type="dcterms:W3CDTF">2026-05-15T06:50:00Z</dcterms:created>
  <dcterms:modified xsi:type="dcterms:W3CDTF">2026-05-18T07:43:00Z</dcterms:modified>
</cp:coreProperties>
</file>